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057F" w14:textId="705631E9" w:rsidR="00DD66E5" w:rsidRDefault="00DD66E5" w:rsidP="00DD66E5">
      <w:pPr>
        <w:pStyle w:val="Heading1"/>
        <w:rPr>
          <w:rFonts w:eastAsia="Times New Roman"/>
          <w:lang w:eastAsia="en-GB"/>
        </w:rPr>
      </w:pPr>
      <w:r w:rsidRPr="00DD66E5">
        <w:rPr>
          <w:rFonts w:eastAsia="Times New Roman"/>
          <w:lang w:eastAsia="en-GB"/>
        </w:rPr>
        <w:t>Centrale Sensitisatie &amp; Aanhoudende Pijn in de Praktijk: Know More, Do Better.</w:t>
      </w:r>
    </w:p>
    <w:p w14:paraId="35C5AE2F" w14:textId="77777777" w:rsidR="00DD66E5" w:rsidRPr="00DD66E5" w:rsidRDefault="00DD66E5" w:rsidP="00DD66E5">
      <w:pPr>
        <w:rPr>
          <w:lang w:eastAsia="en-GB"/>
        </w:rPr>
      </w:pPr>
    </w:p>
    <w:p w14:paraId="45B09505" w14:textId="73363C81"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Chronische pijn is door de Wereldgezondheidsorganisatie (WHO) erkend als een ziekte van het centraal zenuwstelsel. Het is de meest voorkomende en het duurste gezondheidsprobleem in Nederland, maar ook in België en andere landen van Europa, Australië en de VS. Niet alleen dat, de gevolgen voor de persoon zijn gigantisch. Zo ervaren personen met chronische pijn onder andere een verminderde kwaliteit van leven, meer mentale problemen, meer comorbititeiten, verminderde sociale contacten en meer financiele problemen.</w:t>
      </w:r>
    </w:p>
    <w:p w14:paraId="2251BEDB"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p>
    <w:p w14:paraId="35138976"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Uitgebreid wetenschappelijk onderzoek bevestigt de voorname rol die centrale sensitisatie, of de overgevoeligheid van het centraal zenuwstelsel, speelt in het onderhouden en verklaren van aanhoudende pijnklachten. Opmerkelijk daarbij is dat uit wetenschappelijke studies naar voren komt dat centrale sensitisatie een rol speelt bij veel uiteenlopende pijnklachten</w:t>
      </w:r>
      <w:r>
        <w:rPr>
          <w:rFonts w:ascii="Open Sans" w:hAnsi="Open Sans" w:cs="Open Sans"/>
          <w:color w:val="212529"/>
          <w:sz w:val="18"/>
          <w:szCs w:val="18"/>
          <w:vertAlign w:val="superscript"/>
        </w:rPr>
        <w:t>1</w:t>
      </w:r>
      <w:r>
        <w:rPr>
          <w:rFonts w:ascii="Open Sans" w:hAnsi="Open Sans" w:cs="Open Sans"/>
          <w:color w:val="212529"/>
        </w:rPr>
        <w:t>, waaronder fibromyalgie, tendinopathieën, artrose, pijn na kanker, bekkenpijn na de bevalling, aanhoudende pijn na chirurgie, pijn bij kinderen, rugpijn, nekpijn, Ehlers-Danlos syndroom, tot hoofdpijn, reumatoïde artritis en mogelijk zelfs long-COVID. Daarom ook dat de International Assiociation fort he Study of Pain (IASP) patiënten met centrale sensitisatie erkend heeft als een afzonderlijke groep pijnpatiënten, die zich onderscheiden van patiënten met nociceptieve en neuropathische pijn</w:t>
      </w:r>
      <w:r>
        <w:rPr>
          <w:rFonts w:ascii="Open Sans" w:hAnsi="Open Sans" w:cs="Open Sans"/>
          <w:color w:val="212529"/>
          <w:sz w:val="18"/>
          <w:szCs w:val="18"/>
          <w:vertAlign w:val="superscript"/>
        </w:rPr>
        <w:t>2</w:t>
      </w:r>
      <w:r>
        <w:rPr>
          <w:rFonts w:ascii="Open Sans" w:hAnsi="Open Sans" w:cs="Open Sans"/>
          <w:color w:val="212529"/>
        </w:rPr>
        <w:t>.</w:t>
      </w:r>
    </w:p>
    <w:p w14:paraId="498D4CA8"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p>
    <w:p w14:paraId="4CC2AC3C"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Tijdens deze cursus geven we een overzicht van de actuele kennis en inzichten met betrekking tot centrale sensitisatie, en leren we de clinicus aan om centrale sensitisatie bij pijnpatiënten vast te stellen. Daarvoor maken we gebruik van de nieuwe klinische criteria voor nociplastische pijn van de IASP</w:t>
      </w:r>
      <w:r>
        <w:rPr>
          <w:rFonts w:ascii="Open Sans" w:hAnsi="Open Sans" w:cs="Open Sans"/>
          <w:color w:val="212529"/>
          <w:sz w:val="18"/>
          <w:szCs w:val="18"/>
          <w:vertAlign w:val="superscript"/>
        </w:rPr>
        <w:t>3</w:t>
      </w:r>
      <w:r>
        <w:rPr>
          <w:rFonts w:ascii="Open Sans" w:hAnsi="Open Sans" w:cs="Open Sans"/>
          <w:color w:val="212529"/>
        </w:rPr>
        <w:t>. Ook gaan we uitgebreid in op de vragen: wat zijn de klinische implicaties van centrale sensitisatie, en wat is van belang bij de behandeling van personen met centrale sensitisatie? Daarvoor gaan we in op de onderhoudende factoren van centrale sensitisatie, zoals maladaptieve cognities, aanhoudende stress, slaapproblemen, ongezonde voeding en fysieke inactiviteit</w:t>
      </w:r>
      <w:r>
        <w:rPr>
          <w:rFonts w:ascii="Open Sans" w:hAnsi="Open Sans" w:cs="Open Sans"/>
          <w:color w:val="212529"/>
          <w:sz w:val="18"/>
          <w:szCs w:val="18"/>
          <w:vertAlign w:val="superscript"/>
        </w:rPr>
        <w:t>4</w:t>
      </w:r>
      <w:r>
        <w:rPr>
          <w:rFonts w:ascii="Open Sans" w:hAnsi="Open Sans" w:cs="Open Sans"/>
          <w:color w:val="212529"/>
        </w:rPr>
        <w:t>. Van deze leefstijlfactoren is het immers bekend dat ze de gevoeligheid van het centraal zenuwstelsel (i.e., centrale sensitisatie) versterken. De deelnemers leren deze onderhoudende factoren herkennen</w:t>
      </w:r>
      <w:r>
        <w:rPr>
          <w:rFonts w:ascii="Open Sans" w:hAnsi="Open Sans" w:cs="Open Sans"/>
          <w:color w:val="212529"/>
          <w:sz w:val="18"/>
          <w:szCs w:val="18"/>
          <w:vertAlign w:val="superscript"/>
        </w:rPr>
        <w:t>5</w:t>
      </w:r>
      <w:r>
        <w:rPr>
          <w:rFonts w:ascii="Open Sans" w:hAnsi="Open Sans" w:cs="Open Sans"/>
          <w:color w:val="212529"/>
        </w:rPr>
        <w:t> en behandelen bij individuele patiënten met chronische, nociplastische pijn.</w:t>
      </w:r>
    </w:p>
    <w:p w14:paraId="63566684" w14:textId="77777777" w:rsidR="00DD66E5" w:rsidRDefault="00DD66E5" w:rsidP="00DD66E5">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212529"/>
          <w:u w:val="single"/>
        </w:rPr>
        <w:t> </w:t>
      </w:r>
    </w:p>
    <w:p w14:paraId="04A7C54D"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u w:val="single"/>
        </w:rPr>
        <w:t>Leerdoelen en globale inhoud</w:t>
      </w:r>
      <w:r>
        <w:rPr>
          <w:rFonts w:ascii="Open Sans" w:hAnsi="Open Sans" w:cs="Open Sans"/>
          <w:color w:val="212529"/>
        </w:rPr>
        <w:t>:</w:t>
      </w:r>
    </w:p>
    <w:p w14:paraId="3348CB4D"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Bij het afronden van deze 2-daagse cursus zullen deelnemers in staat zijn om:</w:t>
      </w:r>
    </w:p>
    <w:p w14:paraId="0AAC28E2"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lastRenderedPageBreak/>
        <w:t>1.    Centrale sensitisatie als verklaringsmodel voor heel wat pijnklachten beter te begrijpen;</w:t>
      </w:r>
    </w:p>
    <w:p w14:paraId="09A92CC3"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2.    Patiënten met nociplastische pijn te herkennen en te onderscheiden van patiënten met dominant nociceptieve en neuropathische pijn;</w:t>
      </w:r>
    </w:p>
    <w:p w14:paraId="3A26F355"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3.    Patiënten met nociplastische pijn te evalueren zodat alle onderhoudende factoren van centrale sensitisatie (h)erkend worden;</w:t>
      </w:r>
    </w:p>
    <w:p w14:paraId="0351CA17"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4.    Centrale sensitisatie uit te leggen aan patiënten met nociplastische pijn;</w:t>
      </w:r>
    </w:p>
    <w:p w14:paraId="73C28F65"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5.    De onderhoudende factoren voor centrale sensitisatie bij patiënten met chronische pijn te behandelen.</w:t>
      </w:r>
    </w:p>
    <w:p w14:paraId="0A041AFF" w14:textId="77777777" w:rsidR="00DD66E5" w:rsidRDefault="00DD66E5" w:rsidP="00DD66E5">
      <w:pPr>
        <w:pStyle w:val="NormalWeb"/>
        <w:shd w:val="clear" w:color="auto" w:fill="FFFFFF"/>
        <w:spacing w:before="0" w:beforeAutospacing="0" w:after="0" w:afterAutospacing="0"/>
        <w:rPr>
          <w:rFonts w:ascii="Open Sans" w:hAnsi="Open Sans" w:cs="Open Sans"/>
          <w:color w:val="212529"/>
        </w:rPr>
      </w:pPr>
    </w:p>
    <w:p w14:paraId="5A8C5212" w14:textId="77777777" w:rsidR="00DD66E5" w:rsidRDefault="00DD66E5" w:rsidP="00DD66E5">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212529"/>
          <w:u w:val="single"/>
        </w:rPr>
        <w:t>Didactische werkwijze:</w:t>
      </w:r>
    </w:p>
    <w:p w14:paraId="54356789"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De cursus maakt gebruik van de meest optimale werkvormen om eventuele barrières voor de implementatie van evidence-based inzichten te overwinnen, kennisoverdracht en training in het uitvoeren van praktijkrichtlijnen in de klinische praktijk mogelijk te maken</w:t>
      </w:r>
      <w:r>
        <w:rPr>
          <w:rFonts w:ascii="Open Sans" w:hAnsi="Open Sans" w:cs="Open Sans"/>
          <w:color w:val="131413"/>
          <w:sz w:val="18"/>
          <w:szCs w:val="18"/>
          <w:vertAlign w:val="superscript"/>
        </w:rPr>
        <w:t>6</w:t>
      </w:r>
      <w:r>
        <w:rPr>
          <w:rFonts w:ascii="Open Sans" w:hAnsi="Open Sans" w:cs="Open Sans"/>
          <w:color w:val="212529"/>
        </w:rPr>
        <w:t>. Dit betekent dat we voor deze cursus gebruik maken van volgende werkvormen:</w:t>
      </w:r>
    </w:p>
    <w:p w14:paraId="1FD1DB4C"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 demonstraties</w:t>
      </w:r>
    </w:p>
    <w:p w14:paraId="50D6B4FF"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 didactische sessies</w:t>
      </w:r>
    </w:p>
    <w:p w14:paraId="57EA71ED"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 praktische vaardigheidstraining</w:t>
      </w:r>
    </w:p>
    <w:p w14:paraId="58218263"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 illustraties</w:t>
      </w:r>
    </w:p>
    <w:p w14:paraId="18940262"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 discussies en feedback sessies betreffende klinisch redeneren</w:t>
      </w:r>
    </w:p>
    <w:p w14:paraId="012C2B18"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 casuïstiek</w:t>
      </w:r>
    </w:p>
    <w:p w14:paraId="167DE1C2"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 </w:t>
      </w:r>
    </w:p>
    <w:p w14:paraId="764A7F21"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u w:val="single"/>
        </w:rPr>
        <w:t>Programma</w:t>
      </w:r>
      <w:r>
        <w:rPr>
          <w:rFonts w:ascii="Open Sans" w:hAnsi="Open Sans" w:cs="Open Sans"/>
          <w:color w:val="212529"/>
        </w:rPr>
        <w:t>:</w:t>
      </w:r>
    </w:p>
    <w:p w14:paraId="22FC0E69"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p>
    <w:p w14:paraId="3AC1A64A"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Dag 1:</w:t>
      </w:r>
    </w:p>
    <w:p w14:paraId="32153E0C"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1.    Centrale sensitisatie als verklaringsmodel voor pijn leren begrijpen;</w:t>
      </w:r>
    </w:p>
    <w:p w14:paraId="73FA320A"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2.    Patiënten met nociplastische pijn herkennen en onderscheiden van patiënten met dominant nociceptieve en neuropathische pijn;</w:t>
      </w:r>
    </w:p>
    <w:p w14:paraId="605EA81C"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3.    De klinische intake van patiënten met nociplastische pijn en onderhoudende factoren van centrale sensitisatie (h)erkennen;</w:t>
      </w:r>
    </w:p>
    <w:p w14:paraId="2A642B64"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p>
    <w:p w14:paraId="5FE16069"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Dag 2:</w:t>
      </w:r>
    </w:p>
    <w:p w14:paraId="643C881D"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1.    Centrale sensitisatie uitleggen aan patiënten met nociplastische pijn;</w:t>
      </w:r>
    </w:p>
    <w:p w14:paraId="013EB6ED"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2.    De onderhoudende factoren voor centrale sensitisatie bij patiënten met chronische pijn behandelen:</w:t>
      </w:r>
    </w:p>
    <w:p w14:paraId="5DFC5546"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a)    Klinisch redeneren a.d.h.v. casuïstiek;</w:t>
      </w:r>
    </w:p>
    <w:p w14:paraId="34603A98"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b)    Oefentherapie bij patiënten met nociplastische pijn;</w:t>
      </w:r>
    </w:p>
    <w:p w14:paraId="6AB4A831"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c)    Motivationele gesprekvoering bij patiënten met nociplastische pijn;</w:t>
      </w:r>
    </w:p>
    <w:p w14:paraId="2FA54AE0" w14:textId="77777777" w:rsidR="00DD66E5" w:rsidRDefault="00DD66E5" w:rsidP="00DD66E5">
      <w:pPr>
        <w:pStyle w:val="ql-align-justify"/>
        <w:shd w:val="clear" w:color="auto" w:fill="FFFFFF"/>
        <w:spacing w:before="0" w:beforeAutospacing="0" w:after="0" w:afterAutospacing="0"/>
        <w:rPr>
          <w:rFonts w:ascii="Open Sans" w:hAnsi="Open Sans" w:cs="Open Sans"/>
          <w:color w:val="212529"/>
        </w:rPr>
      </w:pPr>
      <w:r>
        <w:rPr>
          <w:rFonts w:ascii="Open Sans" w:hAnsi="Open Sans" w:cs="Open Sans"/>
          <w:color w:val="212529"/>
        </w:rPr>
        <w:t>d)    Verbetering van leefstijl bij patiënten met nociplastische pijn.</w:t>
      </w:r>
    </w:p>
    <w:p w14:paraId="656C3FCD" w14:textId="77777777" w:rsidR="002B78D2" w:rsidRDefault="00DD66E5"/>
    <w:sectPr w:rsidR="002B7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E5"/>
    <w:rsid w:val="00156FC6"/>
    <w:rsid w:val="0018004E"/>
    <w:rsid w:val="00DD66E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0D3FBD3"/>
  <w15:chartTrackingRefBased/>
  <w15:docId w15:val="{8D210107-142F-3140-B050-6DFDE446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6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DD66E5"/>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l-align-justify">
    <w:name w:val="ql-align-justify"/>
    <w:basedOn w:val="Normal"/>
    <w:rsid w:val="00DD66E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DD66E5"/>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rsid w:val="00DD66E5"/>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DD66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0797">
      <w:bodyDiv w:val="1"/>
      <w:marLeft w:val="0"/>
      <w:marRight w:val="0"/>
      <w:marTop w:val="0"/>
      <w:marBottom w:val="0"/>
      <w:divBdr>
        <w:top w:val="none" w:sz="0" w:space="0" w:color="auto"/>
        <w:left w:val="none" w:sz="0" w:space="0" w:color="auto"/>
        <w:bottom w:val="none" w:sz="0" w:space="0" w:color="auto"/>
        <w:right w:val="none" w:sz="0" w:space="0" w:color="auto"/>
      </w:divBdr>
    </w:div>
    <w:div w:id="184126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2021-12-21T09:22:00Z</dcterms:created>
  <dcterms:modified xsi:type="dcterms:W3CDTF">2021-12-21T09:25:00Z</dcterms:modified>
</cp:coreProperties>
</file>